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 xml:space="preserve">Dodávka přístrojů pro </w:t>
      </w:r>
      <w:r w:rsidR="009E5366">
        <w:rPr>
          <w:rFonts w:ascii="Calibri" w:hAnsi="Calibri" w:cs="Arial"/>
          <w:b/>
          <w:bCs/>
          <w:sz w:val="32"/>
          <w:szCs w:val="32"/>
        </w:rPr>
        <w:t>laboratorní medicínu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F872A3">
        <w:rPr>
          <w:rFonts w:asciiTheme="minorHAnsi" w:hAnsiTheme="minorHAnsi" w:cs="Arial"/>
          <w:bCs/>
        </w:rPr>
        <w:t>3</w:t>
      </w:r>
      <w:r w:rsidR="009E5366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>veřejné zakázky</w:t>
      </w:r>
    </w:p>
    <w:p w:rsidR="00BE2F18" w:rsidRPr="00BE2F18" w:rsidRDefault="00310619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310619">
        <w:rPr>
          <w:rFonts w:asciiTheme="minorHAnsi" w:hAnsiTheme="minorHAnsi" w:cs="Arial"/>
          <w:bCs/>
        </w:rPr>
        <w:t>Analyzátor pro záchyt včasných invazivních fungálních infekcí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310619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10619">
              <w:rPr>
                <w:rFonts w:asciiTheme="minorHAnsi" w:hAnsiTheme="minorHAnsi" w:cs="Arial"/>
                <w:b/>
                <w:sz w:val="28"/>
                <w:szCs w:val="28"/>
              </w:rPr>
              <w:t xml:space="preserve">Analyzátor pro záchyt včasných invazivních fungálních infekcí </w:t>
            </w:r>
            <w:r w:rsidR="009E5366">
              <w:rPr>
                <w:rFonts w:asciiTheme="minorHAnsi" w:hAnsiTheme="minorHAnsi" w:cs="Arial"/>
                <w:b/>
                <w:sz w:val="28"/>
                <w:szCs w:val="28"/>
              </w:rPr>
              <w:t>(</w:t>
            </w:r>
            <w:r w:rsidR="00DD43D6"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="009E5366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  <w:r w:rsidR="009F0A40">
              <w:rPr>
                <w:rFonts w:asciiTheme="minorHAnsi" w:hAnsiTheme="minorHAnsi" w:cs="Arial"/>
                <w:b/>
                <w:sz w:val="28"/>
                <w:szCs w:val="28"/>
              </w:rPr>
              <w:t xml:space="preserve"> O</w:t>
            </w:r>
            <w:r w:rsidR="009E5366">
              <w:rPr>
                <w:rFonts w:asciiTheme="minorHAnsi" w:hAnsiTheme="minorHAnsi" w:cs="Arial"/>
                <w:b/>
                <w:sz w:val="28"/>
                <w:szCs w:val="28"/>
              </w:rPr>
              <w:t>ddělení</w:t>
            </w:r>
            <w:r w:rsidR="009F0A40">
              <w:rPr>
                <w:rFonts w:asciiTheme="minorHAnsi" w:hAnsiTheme="minorHAnsi" w:cs="Arial"/>
                <w:b/>
                <w:sz w:val="28"/>
                <w:szCs w:val="28"/>
              </w:rPr>
              <w:t xml:space="preserve"> klinické mikrobiologie</w:t>
            </w:r>
            <w:r w:rsidR="009E5366">
              <w:rPr>
                <w:rFonts w:asciiTheme="minorHAnsi" w:hAnsiTheme="minorHAnsi" w:cs="Arial"/>
                <w:b/>
                <w:sz w:val="28"/>
                <w:szCs w:val="28"/>
              </w:rPr>
              <w:t xml:space="preserve"> Pardubice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 xml:space="preserve">Rychlá detekce fungálních invazivních infekcí 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 xml:space="preserve">Kinetická </w:t>
            </w:r>
            <w:proofErr w:type="spellStart"/>
            <w:r w:rsidRPr="000A49FF">
              <w:rPr>
                <w:rFonts w:cs="Arial"/>
                <w:color w:val="222222"/>
                <w:shd w:val="clear" w:color="auto" w:fill="FFFFFF"/>
              </w:rPr>
              <w:t>turbidimetickrá</w:t>
            </w:r>
            <w:proofErr w:type="spellEnd"/>
            <w:r w:rsidRPr="000A49FF">
              <w:rPr>
                <w:rFonts w:cs="Arial"/>
                <w:color w:val="222222"/>
                <w:shd w:val="clear" w:color="auto" w:fill="FFFFFF"/>
              </w:rPr>
              <w:t xml:space="preserve"> metoda.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strike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 xml:space="preserve">Automatická kalibrace 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>Automatické vyhodnocení, uchování výsledků.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strike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>Činidla ihned k použití (</w:t>
            </w:r>
            <w:proofErr w:type="spellStart"/>
            <w:r w:rsidRPr="000A49FF">
              <w:rPr>
                <w:rFonts w:cs="Arial"/>
                <w:color w:val="222222"/>
                <w:shd w:val="clear" w:color="auto" w:fill="FFFFFF"/>
              </w:rPr>
              <w:t>ready</w:t>
            </w:r>
            <w:proofErr w:type="spellEnd"/>
            <w:r w:rsidRPr="000A49FF">
              <w:rPr>
                <w:rFonts w:cs="Arial"/>
                <w:color w:val="222222"/>
                <w:shd w:val="clear" w:color="auto" w:fill="FFFFFF"/>
              </w:rPr>
              <w:t xml:space="preserve"> to use), stabilní s několikaměsíční </w:t>
            </w:r>
            <w:proofErr w:type="gramStart"/>
            <w:r w:rsidRPr="000A49FF">
              <w:rPr>
                <w:rFonts w:cs="Arial"/>
                <w:color w:val="222222"/>
                <w:shd w:val="clear" w:color="auto" w:fill="FFFFFF"/>
              </w:rPr>
              <w:t>expirací  i</w:t>
            </w:r>
            <w:proofErr w:type="gramEnd"/>
            <w:r w:rsidRPr="000A49FF">
              <w:rPr>
                <w:rFonts w:cs="Arial"/>
                <w:color w:val="222222"/>
                <w:shd w:val="clear" w:color="auto" w:fill="FFFFFF"/>
              </w:rPr>
              <w:t xml:space="preserve"> po otevření balení.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Default="00310619" w:rsidP="00310619">
            <w:pPr>
              <w:rPr>
                <w:rFonts w:cs="Arial"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>Obsluha pomocí SW, který je součástí dodávky</w:t>
            </w:r>
          </w:p>
          <w:p w:rsidR="00E4468D" w:rsidRPr="000A49FF" w:rsidRDefault="00E4468D" w:rsidP="007C61BC">
            <w:pPr>
              <w:pStyle w:val="H-TextFormat"/>
              <w:widowControl/>
              <w:autoSpaceDE/>
              <w:autoSpaceDN/>
              <w:adjustRightInd/>
              <w:rPr>
                <w:color w:val="222222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lastRenderedPageBreak/>
              <w:t>Dotyková obrazovka.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>Identifikace vzorků pomocí čtečky čárových kódů.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ED7674" w:rsidRDefault="00310619" w:rsidP="00310619">
            <w:pPr>
              <w:rPr>
                <w:rFonts w:cs="Arial"/>
                <w:bCs/>
                <w:color w:val="222222"/>
                <w:shd w:val="clear" w:color="auto" w:fill="FFFFFF"/>
              </w:rPr>
            </w:pPr>
            <w:r w:rsidRPr="00ED7674">
              <w:rPr>
                <w:rFonts w:cs="Arial"/>
                <w:bCs/>
                <w:color w:val="222222"/>
                <w:shd w:val="clear" w:color="auto" w:fill="FFFFFF"/>
              </w:rPr>
              <w:t xml:space="preserve">Náhodný vstup vzorků </w:t>
            </w:r>
            <w:r w:rsidR="00ED7674" w:rsidRPr="00ED7674">
              <w:rPr>
                <w:rFonts w:cs="Arial"/>
                <w:bCs/>
                <w:color w:val="222222"/>
                <w:shd w:val="clear" w:color="auto" w:fill="FFFFFF"/>
              </w:rPr>
              <w:t>(</w:t>
            </w:r>
            <w:r w:rsidRPr="00ED7674">
              <w:rPr>
                <w:rFonts w:cs="Arial"/>
                <w:bCs/>
                <w:color w:val="222222"/>
                <w:shd w:val="clear" w:color="auto" w:fill="FFFFFF"/>
              </w:rPr>
              <w:t>každý vzorek lze analyzovat samostatně za stejný finanční náklad</w:t>
            </w:r>
            <w:r w:rsidR="00ED7674" w:rsidRPr="00ED7674">
              <w:rPr>
                <w:rFonts w:cs="Arial"/>
                <w:bCs/>
                <w:color w:val="222222"/>
                <w:shd w:val="clear" w:color="auto" w:fill="FFFFFF"/>
              </w:rPr>
              <w:t>)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ED7674" w:rsidP="00310619">
            <w:pPr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P</w:t>
            </w:r>
            <w:r w:rsidR="00310619" w:rsidRPr="000A49FF">
              <w:rPr>
                <w:rFonts w:cs="Arial"/>
                <w:color w:val="222222"/>
                <w:shd w:val="clear" w:color="auto" w:fill="FFFFFF"/>
              </w:rPr>
              <w:t>říprava vzorku ze séra nebo plazmy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310619">
        <w:trPr>
          <w:trHeight w:val="681"/>
        </w:trPr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>Kapacita min. 16 vzorků najednou s možností rozšíření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>Rozsah metody</w:t>
            </w:r>
            <w:r>
              <w:rPr>
                <w:rFonts w:cs="Arial"/>
                <w:color w:val="222222"/>
                <w:shd w:val="clear" w:color="auto" w:fill="FFFFFF"/>
              </w:rPr>
              <w:t xml:space="preserve"> min.</w:t>
            </w:r>
            <w:r w:rsidRPr="000A49FF">
              <w:rPr>
                <w:rFonts w:cs="Arial"/>
                <w:color w:val="222222"/>
                <w:shd w:val="clear" w:color="auto" w:fill="FFFFFF"/>
              </w:rPr>
              <w:t xml:space="preserve"> 6-600 </w:t>
            </w:r>
            <w:proofErr w:type="spellStart"/>
            <w:r w:rsidRPr="000A49FF">
              <w:rPr>
                <w:rFonts w:cs="Arial"/>
                <w:color w:val="222222"/>
                <w:shd w:val="clear" w:color="auto" w:fill="FFFFFF"/>
              </w:rPr>
              <w:t>pg</w:t>
            </w:r>
            <w:proofErr w:type="spellEnd"/>
            <w:r w:rsidRPr="000A49FF">
              <w:rPr>
                <w:rFonts w:cs="Arial"/>
                <w:color w:val="222222"/>
                <w:shd w:val="clear" w:color="auto" w:fill="FFFFFF"/>
              </w:rPr>
              <w:t>/ml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>Přesnost min. 6,6 % CV při měření v sérii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10619" w:rsidRPr="002476E6" w:rsidTr="00866000">
        <w:tc>
          <w:tcPr>
            <w:tcW w:w="4536" w:type="dxa"/>
          </w:tcPr>
          <w:p w:rsidR="00310619" w:rsidRPr="000A49FF" w:rsidRDefault="00310619" w:rsidP="00310619">
            <w:pPr>
              <w:rPr>
                <w:rFonts w:cs="Arial"/>
                <w:color w:val="222222"/>
                <w:shd w:val="clear" w:color="auto" w:fill="FFFFFF"/>
              </w:rPr>
            </w:pPr>
            <w:r w:rsidRPr="000A49FF">
              <w:rPr>
                <w:rFonts w:cs="Arial"/>
                <w:color w:val="222222"/>
                <w:shd w:val="clear" w:color="auto" w:fill="FFFFFF"/>
              </w:rPr>
              <w:t>Dodávka vč. termo stanice pro zahřívaní na min. 70 °C</w:t>
            </w:r>
          </w:p>
        </w:tc>
        <w:tc>
          <w:tcPr>
            <w:tcW w:w="1276" w:type="dxa"/>
            <w:vAlign w:val="center"/>
          </w:tcPr>
          <w:p w:rsidR="00310619" w:rsidRDefault="00310619" w:rsidP="0031061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10619" w:rsidRDefault="00310619" w:rsidP="0031061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</w:p>
    <w:p w:rsidR="00BE2F18" w:rsidRDefault="00BE2F18" w:rsidP="00BE2F18">
      <w:pPr>
        <w:rPr>
          <w:lang w:eastAsia="en-US"/>
        </w:rPr>
      </w:pPr>
    </w:p>
    <w:p w:rsidR="00ED7674" w:rsidRDefault="00ED7674" w:rsidP="00ED7674">
      <w:pPr>
        <w:pStyle w:val="Nadpis2"/>
        <w:spacing w:before="2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 všechny číselné parametry je tolerance +/- </w:t>
      </w:r>
      <w:proofErr w:type="gramStart"/>
      <w:r>
        <w:rPr>
          <w:rFonts w:asciiTheme="minorHAnsi" w:hAnsiTheme="minorHAnsi"/>
          <w:sz w:val="22"/>
          <w:szCs w:val="22"/>
        </w:rPr>
        <w:t>10%</w:t>
      </w:r>
      <w:proofErr w:type="gramEnd"/>
      <w:r>
        <w:rPr>
          <w:rFonts w:asciiTheme="minorHAnsi" w:hAnsiTheme="minorHAnsi"/>
          <w:sz w:val="22"/>
          <w:szCs w:val="22"/>
        </w:rPr>
        <w:t>, mimo číselné parametry uvedené jako min. nebo max.</w:t>
      </w:r>
    </w:p>
    <w:p w:rsidR="00F62B87" w:rsidRDefault="00F62B87" w:rsidP="00F62B87"/>
    <w:p w:rsidR="00F62B87" w:rsidRDefault="00F62B87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>Název projektu: „</w:t>
        </w:r>
        <w:r w:rsidR="00252F63">
          <w:rPr>
            <w:rFonts w:ascii="Calibri" w:hAnsi="Calibri" w:cs="Calibri"/>
            <w:szCs w:val="20"/>
          </w:rPr>
          <w:t>Laboratorní medicína</w:t>
        </w:r>
        <w:r w:rsidRPr="00917D48">
          <w:rPr>
            <w:rFonts w:ascii="Calibri" w:hAnsi="Calibri" w:cs="Calibri"/>
            <w:szCs w:val="20"/>
          </w:rPr>
          <w:t xml:space="preserve">“, </w:t>
        </w:r>
      </w:p>
      <w:p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proofErr w:type="spellStart"/>
        <w:r w:rsidRPr="00917D48">
          <w:rPr>
            <w:rFonts w:ascii="Calibri" w:hAnsi="Calibri" w:cs="Calibri"/>
            <w:szCs w:val="20"/>
          </w:rPr>
          <w:t>reg</w:t>
        </w:r>
        <w:proofErr w:type="spellEnd"/>
        <w:r w:rsidRPr="00917D48">
          <w:rPr>
            <w:rFonts w:ascii="Calibri" w:hAnsi="Calibri" w:cs="Calibri"/>
            <w:szCs w:val="20"/>
          </w:rPr>
          <w:t xml:space="preserve">. č. </w:t>
        </w:r>
        <w:r w:rsidR="00252F63" w:rsidRPr="00252F63">
          <w:rPr>
            <w:rFonts w:ascii="Calibri" w:hAnsi="Calibri" w:cs="Calibri"/>
            <w:szCs w:val="20"/>
          </w:rPr>
          <w:t>CZ.06.2.56/0.0/0.0./16_043/0001546</w:t>
        </w:r>
      </w:p>
      <w:p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8"/>
  </w:num>
  <w:num w:numId="9">
    <w:abstractNumId w:val="1"/>
  </w:num>
  <w:num w:numId="10">
    <w:abstractNumId w:val="10"/>
  </w:num>
  <w:num w:numId="11">
    <w:abstractNumId w:val="9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 w:numId="20">
    <w:abstractNumId w:val="17"/>
  </w:num>
  <w:num w:numId="2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367E9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B36F0"/>
    <w:rsid w:val="001C55CF"/>
    <w:rsid w:val="001D1372"/>
    <w:rsid w:val="001E427D"/>
    <w:rsid w:val="001F2952"/>
    <w:rsid w:val="00205EE2"/>
    <w:rsid w:val="00214C1D"/>
    <w:rsid w:val="002476E6"/>
    <w:rsid w:val="00252F63"/>
    <w:rsid w:val="00280A80"/>
    <w:rsid w:val="002B39F1"/>
    <w:rsid w:val="002C543B"/>
    <w:rsid w:val="002C5A20"/>
    <w:rsid w:val="002D0847"/>
    <w:rsid w:val="002D4509"/>
    <w:rsid w:val="00303205"/>
    <w:rsid w:val="00310619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E77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17AAF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D48D7"/>
    <w:rsid w:val="006F12A7"/>
    <w:rsid w:val="006F5DB8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726"/>
    <w:rsid w:val="00783B7D"/>
    <w:rsid w:val="007B6C29"/>
    <w:rsid w:val="007C61BC"/>
    <w:rsid w:val="007D1C73"/>
    <w:rsid w:val="007D591C"/>
    <w:rsid w:val="007E6669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9E5366"/>
    <w:rsid w:val="009F0A40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AF00FA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15DB"/>
    <w:rsid w:val="00BD6D27"/>
    <w:rsid w:val="00BE2F18"/>
    <w:rsid w:val="00C04ADE"/>
    <w:rsid w:val="00C10A7D"/>
    <w:rsid w:val="00C16503"/>
    <w:rsid w:val="00C57F86"/>
    <w:rsid w:val="00C64F47"/>
    <w:rsid w:val="00C66C8A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DD43D6"/>
    <w:rsid w:val="00E14675"/>
    <w:rsid w:val="00E25961"/>
    <w:rsid w:val="00E25E2C"/>
    <w:rsid w:val="00E3244D"/>
    <w:rsid w:val="00E327B4"/>
    <w:rsid w:val="00E4468D"/>
    <w:rsid w:val="00E640CE"/>
    <w:rsid w:val="00E70BD0"/>
    <w:rsid w:val="00E73FAD"/>
    <w:rsid w:val="00EB28FB"/>
    <w:rsid w:val="00EB3567"/>
    <w:rsid w:val="00ED1886"/>
    <w:rsid w:val="00ED7674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2B87"/>
    <w:rsid w:val="00F63C45"/>
    <w:rsid w:val="00F66DDD"/>
    <w:rsid w:val="00F66E34"/>
    <w:rsid w:val="00F70C37"/>
    <w:rsid w:val="00F872A3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odbod">
    <w:name w:val="Podbod"/>
    <w:basedOn w:val="Normln"/>
    <w:rsid w:val="00DD43D6"/>
    <w:pPr>
      <w:keepLines/>
      <w:spacing w:before="120"/>
      <w:jc w:val="both"/>
    </w:pPr>
    <w:rPr>
      <w:rFonts w:ascii="Calibri" w:eastAsia="MS Mincho" w:hAnsi="Calibri"/>
      <w:sz w:val="22"/>
      <w:lang w:eastAsia="ja-JP"/>
    </w:rPr>
  </w:style>
  <w:style w:type="paragraph" w:customStyle="1" w:styleId="Bodspecifikace">
    <w:name w:val="Bod specifikace"/>
    <w:basedOn w:val="Normln"/>
    <w:next w:val="Normln"/>
    <w:rsid w:val="00DD43D6"/>
    <w:pPr>
      <w:keepNext/>
      <w:spacing w:before="240"/>
      <w:jc w:val="both"/>
    </w:pPr>
    <w:rPr>
      <w:rFonts w:ascii="Candara" w:hAnsi="Candara"/>
      <w:b/>
      <w:sz w:val="24"/>
      <w:lang w:eastAsia="en-US"/>
    </w:rPr>
  </w:style>
  <w:style w:type="paragraph" w:customStyle="1" w:styleId="Wtext">
    <w:name w:val="W text"/>
    <w:basedOn w:val="Normln"/>
    <w:rsid w:val="00DD43D6"/>
    <w:pPr>
      <w:autoSpaceDE w:val="0"/>
      <w:autoSpaceDN w:val="0"/>
      <w:spacing w:after="120"/>
      <w:ind w:firstLine="709"/>
      <w:jc w:val="both"/>
    </w:pPr>
    <w:rPr>
      <w:rFonts w:eastAsiaTheme="minorHAnsi" w:cs="Arial"/>
      <w:szCs w:val="20"/>
    </w:rPr>
  </w:style>
  <w:style w:type="paragraph" w:customStyle="1" w:styleId="H-TextFormat">
    <w:name w:val="H-TextFormat"/>
    <w:next w:val="Normln"/>
    <w:uiPriority w:val="99"/>
    <w:rsid w:val="00E446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u w:color="00000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69B0E-95BF-4D52-9459-2F44F50A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486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2</cp:revision>
  <dcterms:created xsi:type="dcterms:W3CDTF">2020-10-02T08:38:00Z</dcterms:created>
  <dcterms:modified xsi:type="dcterms:W3CDTF">2020-10-02T08:38:00Z</dcterms:modified>
</cp:coreProperties>
</file>